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A42EE" w14:textId="6DBDB697" w:rsidR="0016670F" w:rsidRPr="003F0DC3" w:rsidRDefault="003F0DC3" w:rsidP="00E113D7">
      <w:pPr>
        <w:pStyle w:val="Heading1"/>
        <w:tabs>
          <w:tab w:val="left" w:pos="1950"/>
          <w:tab w:val="center" w:pos="4320"/>
        </w:tabs>
        <w:jc w:val="center"/>
        <w:rPr>
          <w:sz w:val="52"/>
          <w:szCs w:val="52"/>
        </w:rPr>
      </w:pPr>
      <w:r w:rsidRPr="003F0DC3">
        <w:rPr>
          <w:noProof/>
          <w:sz w:val="52"/>
          <w:szCs w:val="52"/>
        </w:rPr>
        <w:drawing>
          <wp:anchor distT="0" distB="0" distL="114300" distR="114300" simplePos="0" relativeHeight="251658240" behindDoc="0" locked="0" layoutInCell="1" allowOverlap="1" wp14:anchorId="1E0E93BA" wp14:editId="5177BF60">
            <wp:simplePos x="0" y="0"/>
            <wp:positionH relativeFrom="margin">
              <wp:align>right</wp:align>
            </wp:positionH>
            <wp:positionV relativeFrom="margin">
              <wp:posOffset>-514350</wp:posOffset>
            </wp:positionV>
            <wp:extent cx="1727200" cy="508000"/>
            <wp:effectExtent l="0" t="0" r="0" b="0"/>
            <wp:wrapSquare wrapText="bothSides"/>
            <wp:docPr id="846807150" name="Picture 1" descr="Moralbox Training 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H8sEafRrsIOFsg_Z-JGRDw_33" descr="Moralbox Training Matri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7200" cy="50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4035631F" w:rsidRPr="05EE9EB2">
        <w:rPr>
          <w:sz w:val="52"/>
          <w:szCs w:val="52"/>
        </w:rPr>
        <w:t>Tuckman’s Team</w:t>
      </w:r>
      <w:r w:rsidR="4035631F" w:rsidRPr="003F0DC3">
        <w:rPr>
          <w:sz w:val="52"/>
          <w:szCs w:val="52"/>
        </w:rPr>
        <w:t xml:space="preserve"> </w:t>
      </w:r>
      <w:r w:rsidR="00A011CE" w:rsidRPr="05EE9EB2">
        <w:rPr>
          <w:sz w:val="52"/>
          <w:szCs w:val="52"/>
        </w:rPr>
        <w:t>Reflection Worksheet</w:t>
      </w:r>
    </w:p>
    <w:p w14:paraId="6246759B" w14:textId="77777777" w:rsidR="0016670F" w:rsidRPr="003F0DC3" w:rsidRDefault="00A011CE">
      <w:pPr>
        <w:jc w:val="center"/>
        <w:rPr>
          <w:sz w:val="28"/>
          <w:szCs w:val="28"/>
        </w:rPr>
      </w:pPr>
      <w:r w:rsidRPr="003F0DC3">
        <w:rPr>
          <w:sz w:val="28"/>
          <w:szCs w:val="28"/>
        </w:rPr>
        <w:t>Apply the Five Stages of Group Development to Your Own Team</w:t>
      </w:r>
    </w:p>
    <w:p w14:paraId="4EF79503" w14:textId="77777777" w:rsidR="0016670F" w:rsidRDefault="0016670F"/>
    <w:p w14:paraId="0B1C8396" w14:textId="77777777" w:rsidR="0016670F" w:rsidRDefault="00A011CE">
      <w:pPr>
        <w:pStyle w:val="Heading2"/>
      </w:pPr>
      <w:r>
        <w:t>How to Use This Worksheet</w:t>
      </w:r>
    </w:p>
    <w:p w14:paraId="5FF0CFC2" w14:textId="7C0637D6" w:rsidR="0016670F" w:rsidRDefault="00A011CE">
      <w:r>
        <w:t>Every team evolves from polite beginnings to productive collaboration. This worksheet helps you identify which stage your team is in, reflect on current dynamics, and decide how to move forward. Use it during team meetings, retrospectives, or leadership reviews to encourage open discussion, build awareness, and strengthen collaboration.</w:t>
      </w:r>
    </w:p>
    <w:p w14:paraId="345F1D25" w14:textId="77777777" w:rsidR="0016670F" w:rsidRDefault="00A011CE">
      <w:r>
        <w:t>Instructions:</w:t>
      </w:r>
    </w:p>
    <w:p w14:paraId="3FEDDBD9" w14:textId="77777777" w:rsidR="0016670F" w:rsidRDefault="00A011CE">
      <w:r>
        <w:t>1. Read each stage carefully.</w:t>
      </w:r>
    </w:p>
    <w:p w14:paraId="2317F1A5" w14:textId="77777777" w:rsidR="0016670F" w:rsidRDefault="00A011CE">
      <w:r>
        <w:t>2. Discuss the reflection questions together.</w:t>
      </w:r>
    </w:p>
    <w:p w14:paraId="689E0A4D" w14:textId="77777777" w:rsidR="0016670F" w:rsidRDefault="00A011CE">
      <w:r>
        <w:t>3. Tick the indicators that best describe your current team.</w:t>
      </w:r>
    </w:p>
    <w:p w14:paraId="11FE1121" w14:textId="77777777" w:rsidR="0016670F" w:rsidRDefault="00A011CE">
      <w:r>
        <w:t>4. Note the actions you’ll take before your next check-in.</w:t>
      </w:r>
    </w:p>
    <w:p w14:paraId="77F2200C" w14:textId="47C55ED5" w:rsidR="00EF4799" w:rsidRPr="00EF4799" w:rsidRDefault="00A011CE" w:rsidP="00EF4799">
      <w:pPr>
        <w:pStyle w:val="Heading2"/>
      </w:pPr>
      <w:r>
        <w:t>Stage 1: Forming</w:t>
      </w:r>
      <w:r w:rsidR="00EF4799">
        <w:t>-</w:t>
      </w:r>
      <w:r>
        <w:t xml:space="preserve"> Getting Started</w:t>
      </w:r>
      <w:r w:rsidR="00EF4799">
        <w:br/>
      </w:r>
    </w:p>
    <w:p w14:paraId="724A22AC" w14:textId="77777777" w:rsidR="0016670F" w:rsidRDefault="00A011CE">
      <w:r>
        <w:t>Typical Signs:</w:t>
      </w:r>
    </w:p>
    <w:p w14:paraId="21212748" w14:textId="3DDF66F4" w:rsidR="0016670F" w:rsidRDefault="00A011CE">
      <w:pPr>
        <w:pStyle w:val="ListBullet"/>
      </w:pPr>
      <w:r>
        <w:t>Members are polite, cautious, or uncertain.</w:t>
      </w:r>
    </w:p>
    <w:p w14:paraId="0FECC64F" w14:textId="3E7D70B0" w:rsidR="0016670F" w:rsidRDefault="00A011CE">
      <w:pPr>
        <w:pStyle w:val="ListBullet"/>
      </w:pPr>
      <w:r>
        <w:t>Roles, goals, and expectations are unclear.</w:t>
      </w:r>
    </w:p>
    <w:p w14:paraId="09806D50" w14:textId="6D58E5CE" w:rsidR="0016670F" w:rsidRDefault="00A011CE">
      <w:pPr>
        <w:pStyle w:val="ListBullet"/>
      </w:pPr>
      <w:r>
        <w:t>Dependence on leader for direction.</w:t>
      </w:r>
    </w:p>
    <w:p w14:paraId="1EEE5AC6" w14:textId="77777777" w:rsidR="0016670F" w:rsidRDefault="00A011CE">
      <w:r>
        <w:t>Reflection Prompts:</w:t>
      </w:r>
    </w:p>
    <w:p w14:paraId="391D270F" w14:textId="7AE69609" w:rsidR="0016670F" w:rsidRDefault="00A011CE">
      <w:pPr>
        <w:pStyle w:val="ListBullet"/>
      </w:pPr>
      <w:r>
        <w:t>How clear are we about our purpose and roles?</w:t>
      </w:r>
    </w:p>
    <w:p w14:paraId="2E704F14" w14:textId="7B16DAEA" w:rsidR="0016670F" w:rsidRDefault="00A011CE">
      <w:pPr>
        <w:pStyle w:val="ListBullet"/>
      </w:pPr>
      <w:r>
        <w:t>What information or support do we need to feel confident moving forward?</w:t>
      </w:r>
    </w:p>
    <w:p w14:paraId="259689EF" w14:textId="77777777" w:rsidR="0016670F" w:rsidRDefault="00A011CE">
      <w:r>
        <w:t>Next Steps:</w:t>
      </w:r>
    </w:p>
    <w:p w14:paraId="1B365D3C" w14:textId="31D39D87" w:rsidR="0016670F" w:rsidRDefault="00EF4799" w:rsidP="003F0DC3">
      <w:pPr>
        <w:pStyle w:val="ListBullet"/>
        <w:numPr>
          <w:ilvl w:val="0"/>
          <w:numId w:val="0"/>
        </w:numPr>
        <w:ind w:left="360" w:hanging="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Define the project vision and objectives.</w:t>
      </w:r>
    </w:p>
    <w:p w14:paraId="0FA37E3F" w14:textId="13CA59E4" w:rsidR="0016670F" w:rsidRDefault="00EF4799" w:rsidP="003F0DC3">
      <w:pPr>
        <w:pStyle w:val="ListBullet"/>
        <w:numPr>
          <w:ilvl w:val="0"/>
          <w:numId w:val="0"/>
        </w:numPr>
        <w:ind w:left="360" w:hanging="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Clarify each member’s responsibilities.</w:t>
      </w:r>
    </w:p>
    <w:p w14:paraId="0E2EFA40" w14:textId="7F1714F6" w:rsidR="0016670F" w:rsidRDefault="00EF4799" w:rsidP="003F0DC3">
      <w:pPr>
        <w:pStyle w:val="ListBullet"/>
        <w:numPr>
          <w:ilvl w:val="0"/>
          <w:numId w:val="0"/>
        </w:numPr>
        <w:ind w:left="360" w:hanging="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Create shared ground rules for communication.</w:t>
      </w:r>
    </w:p>
    <w:p w14:paraId="3B43280A" w14:textId="77777777" w:rsidR="0016670F" w:rsidRDefault="00A011CE">
      <w:r>
        <w:t>Goal: Strengthen team progress and awareness.</w:t>
      </w:r>
      <w:r>
        <w:br/>
      </w:r>
    </w:p>
    <w:p w14:paraId="1A63E9B7" w14:textId="53BCA074" w:rsidR="0016670F" w:rsidRDefault="00A011CE">
      <w:pPr>
        <w:pStyle w:val="Heading2"/>
      </w:pPr>
      <w:r>
        <w:lastRenderedPageBreak/>
        <w:t xml:space="preserve">Stage 2: Storming </w:t>
      </w:r>
      <w:r w:rsidR="00EF4799">
        <w:t xml:space="preserve">- </w:t>
      </w:r>
      <w:r>
        <w:t>Navigating Conflict</w:t>
      </w:r>
    </w:p>
    <w:p w14:paraId="0609E268" w14:textId="77777777" w:rsidR="0016670F" w:rsidRDefault="00A011CE">
      <w:r>
        <w:t>Typical Signs:</w:t>
      </w:r>
    </w:p>
    <w:p w14:paraId="443F69DA" w14:textId="36D948C1" w:rsidR="0016670F" w:rsidRDefault="00A011CE">
      <w:pPr>
        <w:pStyle w:val="ListBullet"/>
      </w:pPr>
      <w:r>
        <w:t>Conflicts or differing opinions arise.</w:t>
      </w:r>
    </w:p>
    <w:p w14:paraId="4FCCA144" w14:textId="48C8F6CB" w:rsidR="0016670F" w:rsidRDefault="00A011CE">
      <w:pPr>
        <w:pStyle w:val="ListBullet"/>
      </w:pPr>
      <w:r>
        <w:t>Power struggles or role confusion.</w:t>
      </w:r>
    </w:p>
    <w:p w14:paraId="78539C12" w14:textId="60B0AC0D" w:rsidR="0016670F" w:rsidRDefault="00A011CE">
      <w:pPr>
        <w:pStyle w:val="ListBullet"/>
      </w:pPr>
      <w:r>
        <w:t>Emotional tension or frustration.</w:t>
      </w:r>
    </w:p>
    <w:p w14:paraId="3A974DBC" w14:textId="77777777" w:rsidR="0016670F" w:rsidRDefault="00A011CE">
      <w:r>
        <w:t>Reflection Prompts:</w:t>
      </w:r>
    </w:p>
    <w:p w14:paraId="598DEE0D" w14:textId="74C5548C" w:rsidR="0016670F" w:rsidRDefault="00A011CE">
      <w:pPr>
        <w:pStyle w:val="ListBullet"/>
      </w:pPr>
      <w:r>
        <w:t>What’s currently causing friction or slowdowns?</w:t>
      </w:r>
    </w:p>
    <w:p w14:paraId="34F250E0" w14:textId="5149794B" w:rsidR="0016670F" w:rsidRDefault="00A011CE">
      <w:pPr>
        <w:pStyle w:val="ListBullet"/>
      </w:pPr>
      <w:r>
        <w:t>Are we addressing issues openly and respectfully?</w:t>
      </w:r>
    </w:p>
    <w:p w14:paraId="4F156748" w14:textId="77777777" w:rsidR="0016670F" w:rsidRDefault="00A011CE">
      <w:r>
        <w:t>Next Steps:</w:t>
      </w:r>
    </w:p>
    <w:p w14:paraId="0328210F" w14:textId="5FC5F308" w:rsidR="0016670F" w:rsidRDefault="00EF4799" w:rsidP="00EF4799">
      <w:pPr>
        <w:pStyle w:val="ListBullet"/>
        <w:numPr>
          <w:ilvl w:val="0"/>
          <w:numId w:val="0"/>
        </w:numPr>
        <w:ind w:left="360" w:hanging="360"/>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sidR="00A011CE">
        <w:t>Hold a facilitated team discussion to surface challenges.</w:t>
      </w:r>
    </w:p>
    <w:p w14:paraId="3588DF24" w14:textId="022442EE" w:rsidR="0016670F" w:rsidRDefault="00EF4799" w:rsidP="00EF4799">
      <w:pPr>
        <w:pStyle w:val="ListBullet"/>
        <w:numPr>
          <w:ilvl w:val="0"/>
          <w:numId w:val="0"/>
        </w:numPr>
        <w:ind w:left="360" w:hanging="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 xml:space="preserve">Listen actively </w:t>
      </w:r>
      <w:r w:rsidR="003F0DC3">
        <w:t>and</w:t>
      </w:r>
      <w:r w:rsidR="00A011CE">
        <w:t xml:space="preserve"> focus on understanding before resolving.</w:t>
      </w:r>
    </w:p>
    <w:p w14:paraId="5EE545BD" w14:textId="4546885E" w:rsidR="0016670F" w:rsidRDefault="00EF4799" w:rsidP="00EF4799">
      <w:pPr>
        <w:pStyle w:val="ListBullet"/>
        <w:numPr>
          <w:ilvl w:val="0"/>
          <w:numId w:val="0"/>
        </w:numPr>
        <w:ind w:left="360" w:hanging="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Agree on a process for managing conflict constructively.</w:t>
      </w:r>
    </w:p>
    <w:p w14:paraId="1CB15674" w14:textId="77777777" w:rsidR="0016670F" w:rsidRDefault="00A011CE">
      <w:r>
        <w:t>Goal: Strengthen team progress and awareness.</w:t>
      </w:r>
      <w:r>
        <w:br/>
      </w:r>
    </w:p>
    <w:p w14:paraId="5A4E5E1B" w14:textId="1B01B6D0" w:rsidR="0016670F" w:rsidRDefault="00A011CE">
      <w:pPr>
        <w:pStyle w:val="Heading2"/>
      </w:pPr>
      <w:r>
        <w:t xml:space="preserve">Stage 3: Norming </w:t>
      </w:r>
      <w:r w:rsidR="00EF4799">
        <w:t xml:space="preserve">- </w:t>
      </w:r>
      <w:r>
        <w:t>Building Trust</w:t>
      </w:r>
    </w:p>
    <w:p w14:paraId="0B7D13F8" w14:textId="77777777" w:rsidR="0016670F" w:rsidRDefault="00A011CE">
      <w:r>
        <w:t>Typical Signs:</w:t>
      </w:r>
    </w:p>
    <w:p w14:paraId="5873C29F" w14:textId="0ABF0472" w:rsidR="0016670F" w:rsidRDefault="00A011CE">
      <w:pPr>
        <w:pStyle w:val="ListBullet"/>
      </w:pPr>
      <w:r>
        <w:t>Members start cooperating naturally.</w:t>
      </w:r>
    </w:p>
    <w:p w14:paraId="6BFE2A12" w14:textId="5D1A46DB" w:rsidR="0016670F" w:rsidRDefault="00A011CE">
      <w:pPr>
        <w:pStyle w:val="ListBullet"/>
      </w:pPr>
      <w:r>
        <w:t>Unspoken norms, routines, and shared expectations form.</w:t>
      </w:r>
    </w:p>
    <w:p w14:paraId="10A0EC5A" w14:textId="541D174C" w:rsidR="0016670F" w:rsidRDefault="00A011CE">
      <w:pPr>
        <w:pStyle w:val="ListBullet"/>
      </w:pPr>
      <w:r>
        <w:t>Feedback and communication improve.</w:t>
      </w:r>
    </w:p>
    <w:p w14:paraId="0897FD42" w14:textId="77777777" w:rsidR="0016670F" w:rsidRDefault="00A011CE">
      <w:r>
        <w:t>Reflection Prompts:</w:t>
      </w:r>
    </w:p>
    <w:p w14:paraId="49DB882B" w14:textId="7B13B358" w:rsidR="0016670F" w:rsidRDefault="00A011CE">
      <w:pPr>
        <w:pStyle w:val="ListBullet"/>
      </w:pPr>
      <w:r>
        <w:t>How effectively do we collaborate day to day?</w:t>
      </w:r>
    </w:p>
    <w:p w14:paraId="0603C67F" w14:textId="3DD43706" w:rsidR="0016670F" w:rsidRDefault="00A011CE">
      <w:pPr>
        <w:pStyle w:val="ListBullet"/>
      </w:pPr>
      <w:r>
        <w:t>Do all members feel included and heard?</w:t>
      </w:r>
    </w:p>
    <w:p w14:paraId="59E2A6B0" w14:textId="77777777" w:rsidR="0016670F" w:rsidRDefault="00A011CE">
      <w:r>
        <w:t>Next Steps:</w:t>
      </w:r>
    </w:p>
    <w:p w14:paraId="6721A2C0" w14:textId="4157DD14" w:rsidR="0016670F" w:rsidRDefault="00EF4799" w:rsidP="00EF4799">
      <w:pPr>
        <w:pStyle w:val="ListBullet"/>
        <w:numPr>
          <w:ilvl w:val="0"/>
          <w:numId w:val="0"/>
        </w:numPr>
        <w:ind w:left="360" w:hanging="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Reinforce positive behaviours through recognition.</w:t>
      </w:r>
    </w:p>
    <w:p w14:paraId="106D8069" w14:textId="605ACF7A" w:rsidR="0016670F" w:rsidRDefault="00EF4799" w:rsidP="00EF4799">
      <w:pPr>
        <w:pStyle w:val="ListBullet"/>
        <w:numPr>
          <w:ilvl w:val="0"/>
          <w:numId w:val="0"/>
        </w:numPr>
        <w:ind w:left="360" w:hanging="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Document team norms and workflow patterns.</w:t>
      </w:r>
    </w:p>
    <w:p w14:paraId="53E3FBC2" w14:textId="16D677B4" w:rsidR="0016670F" w:rsidRDefault="00EF4799" w:rsidP="00EF4799">
      <w:pPr>
        <w:pStyle w:val="ListBullet"/>
        <w:numPr>
          <w:ilvl w:val="0"/>
          <w:numId w:val="0"/>
        </w:numPr>
        <w:ind w:left="360" w:hanging="360"/>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 </w:t>
      </w:r>
      <w:r w:rsidR="00A011CE">
        <w:t>Encourage peer feedback and shared leadership.</w:t>
      </w:r>
    </w:p>
    <w:p w14:paraId="6C3E237B" w14:textId="77777777" w:rsidR="0016670F" w:rsidRDefault="00A011CE">
      <w:r>
        <w:t>Goal: Strengthen team progress and awareness.</w:t>
      </w:r>
      <w:r>
        <w:br/>
      </w:r>
    </w:p>
    <w:p w14:paraId="26E41601" w14:textId="57A347D0" w:rsidR="0016670F" w:rsidRDefault="00A011CE">
      <w:pPr>
        <w:pStyle w:val="Heading2"/>
      </w:pPr>
      <w:r>
        <w:t xml:space="preserve">Stage 4: Performing </w:t>
      </w:r>
      <w:r w:rsidR="003F0DC3">
        <w:t>-</w:t>
      </w:r>
      <w:r>
        <w:t xml:space="preserve"> Reaching Peak Performance</w:t>
      </w:r>
    </w:p>
    <w:p w14:paraId="172CE2A2" w14:textId="77777777" w:rsidR="0016670F" w:rsidRDefault="00A011CE">
      <w:r>
        <w:t>Typical Signs:</w:t>
      </w:r>
    </w:p>
    <w:p w14:paraId="2FFF1228" w14:textId="114FA4FE" w:rsidR="0016670F" w:rsidRDefault="00A011CE">
      <w:pPr>
        <w:pStyle w:val="ListBullet"/>
      </w:pPr>
      <w:r>
        <w:t>Team is self-directed and highly productive.</w:t>
      </w:r>
    </w:p>
    <w:p w14:paraId="67684FF0" w14:textId="37796683" w:rsidR="0016670F" w:rsidRDefault="00A011CE">
      <w:pPr>
        <w:pStyle w:val="ListBullet"/>
      </w:pPr>
      <w:r>
        <w:t>Roles are flexible; problem-solving is quick.</w:t>
      </w:r>
    </w:p>
    <w:p w14:paraId="27CF8800" w14:textId="475E78F2" w:rsidR="0016670F" w:rsidRDefault="00A011CE">
      <w:pPr>
        <w:pStyle w:val="ListBullet"/>
      </w:pPr>
      <w:r>
        <w:lastRenderedPageBreak/>
        <w:t>Mutual trust and confidence are high.</w:t>
      </w:r>
    </w:p>
    <w:p w14:paraId="5FA12B5C" w14:textId="77777777" w:rsidR="0016670F" w:rsidRDefault="00A011CE">
      <w:r>
        <w:t>Reflection Prompts:</w:t>
      </w:r>
    </w:p>
    <w:p w14:paraId="45094D93" w14:textId="0E52AF16" w:rsidR="0016670F" w:rsidRDefault="00A011CE">
      <w:pPr>
        <w:pStyle w:val="ListBullet"/>
      </w:pPr>
      <w:r>
        <w:t>What are we doing exceptionally well right now?</w:t>
      </w:r>
    </w:p>
    <w:p w14:paraId="10F1E27D" w14:textId="1513AA4C" w:rsidR="0016670F" w:rsidRDefault="00A011CE">
      <w:pPr>
        <w:pStyle w:val="ListBullet"/>
      </w:pPr>
      <w:r>
        <w:t>How can we sustain motivation and continuous improvement?</w:t>
      </w:r>
    </w:p>
    <w:p w14:paraId="2A8A7FF9" w14:textId="77777777" w:rsidR="0016670F" w:rsidRDefault="00A011CE">
      <w:r>
        <w:t>Next Steps:</w:t>
      </w:r>
    </w:p>
    <w:p w14:paraId="1E5C2D87" w14:textId="21E12474" w:rsidR="0016670F" w:rsidRDefault="003F0DC3" w:rsidP="003F0DC3">
      <w:pPr>
        <w:pStyle w:val="ListBullet"/>
        <w:numPr>
          <w:ilvl w:val="0"/>
          <w:numId w:val="0"/>
        </w:numPr>
        <w:ind w:left="360" w:hanging="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Celebrate achievements regularly.</w:t>
      </w:r>
    </w:p>
    <w:p w14:paraId="514B651D" w14:textId="66E51486" w:rsidR="0016670F" w:rsidRDefault="003F0DC3" w:rsidP="003F0DC3">
      <w:pPr>
        <w:pStyle w:val="ListBullet"/>
        <w:numPr>
          <w:ilvl w:val="0"/>
          <w:numId w:val="0"/>
        </w:numPr>
        <w:ind w:left="360" w:hanging="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Empower members to take initiative and lead sub-tasks.</w:t>
      </w:r>
    </w:p>
    <w:p w14:paraId="5472F7E7" w14:textId="32140712" w:rsidR="0016670F" w:rsidRDefault="003F0DC3" w:rsidP="003F0DC3">
      <w:pPr>
        <w:pStyle w:val="ListBullet"/>
        <w:numPr>
          <w:ilvl w:val="0"/>
          <w:numId w:val="0"/>
        </w:numPr>
        <w:ind w:left="360" w:hanging="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Use feedback loops or retrospectives to keep improving.</w:t>
      </w:r>
    </w:p>
    <w:p w14:paraId="599D481C" w14:textId="77777777" w:rsidR="0016670F" w:rsidRDefault="00A011CE">
      <w:r>
        <w:t>Goal: Strengthen team progress and awareness.</w:t>
      </w:r>
      <w:r>
        <w:br/>
      </w:r>
    </w:p>
    <w:p w14:paraId="01E4494B" w14:textId="79E1F6DF" w:rsidR="0016670F" w:rsidRDefault="00A011CE">
      <w:pPr>
        <w:pStyle w:val="Heading2"/>
      </w:pPr>
      <w:r>
        <w:t>Stage 5: Adjourning</w:t>
      </w:r>
      <w:r w:rsidR="003F0DC3">
        <w:t xml:space="preserve"> -</w:t>
      </w:r>
      <w:r>
        <w:t xml:space="preserve"> Reflecting and Closing</w:t>
      </w:r>
    </w:p>
    <w:p w14:paraId="2DDC8409" w14:textId="77777777" w:rsidR="0016670F" w:rsidRDefault="00A011CE">
      <w:r>
        <w:t>Typical Signs:</w:t>
      </w:r>
    </w:p>
    <w:p w14:paraId="7FC2132D" w14:textId="2E78EE24" w:rsidR="0016670F" w:rsidRDefault="00A011CE">
      <w:pPr>
        <w:pStyle w:val="ListBullet"/>
      </w:pPr>
      <w:r>
        <w:t>Project goals achieved; team preparing to disband.</w:t>
      </w:r>
    </w:p>
    <w:p w14:paraId="5366A83F" w14:textId="7054AE52" w:rsidR="0016670F" w:rsidRDefault="00A011CE">
      <w:pPr>
        <w:pStyle w:val="ListBullet"/>
      </w:pPr>
      <w:r>
        <w:t>Mixed emotions (pride, sadness, uncertainty).</w:t>
      </w:r>
    </w:p>
    <w:p w14:paraId="24515F51" w14:textId="7BB0786C" w:rsidR="0016670F" w:rsidRDefault="00A011CE">
      <w:pPr>
        <w:pStyle w:val="ListBullet"/>
      </w:pPr>
      <w:r>
        <w:t>Focus shifts to reflection and transition.</w:t>
      </w:r>
    </w:p>
    <w:p w14:paraId="60C26584" w14:textId="77777777" w:rsidR="0016670F" w:rsidRDefault="00A011CE">
      <w:r>
        <w:t>Reflection Prompts:</w:t>
      </w:r>
    </w:p>
    <w:p w14:paraId="1CBD508C" w14:textId="3C08B202" w:rsidR="0016670F" w:rsidRDefault="00A011CE">
      <w:pPr>
        <w:pStyle w:val="ListBullet"/>
      </w:pPr>
      <w:r>
        <w:t>What have we achieved and learned as a team?</w:t>
      </w:r>
    </w:p>
    <w:p w14:paraId="25C7CB4D" w14:textId="34A1CA6C" w:rsidR="0016670F" w:rsidRDefault="00A011CE">
      <w:pPr>
        <w:pStyle w:val="ListBullet"/>
      </w:pPr>
      <w:r>
        <w:t>How can we transfer lessons to future projects?</w:t>
      </w:r>
    </w:p>
    <w:p w14:paraId="7CCF048A" w14:textId="77777777" w:rsidR="0016670F" w:rsidRDefault="00A011CE">
      <w:r>
        <w:t>Next Steps:</w:t>
      </w:r>
    </w:p>
    <w:p w14:paraId="2CEE0B7C" w14:textId="3197DC24" w:rsidR="0016670F" w:rsidRDefault="003F0DC3" w:rsidP="003F0DC3">
      <w:pPr>
        <w:pStyle w:val="ListBullet"/>
        <w:numPr>
          <w:ilvl w:val="0"/>
          <w:numId w:val="0"/>
        </w:numPr>
        <w:ind w:left="360" w:hanging="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Conduct a team debrief or celebration session.</w:t>
      </w:r>
    </w:p>
    <w:p w14:paraId="433B565C" w14:textId="55425259" w:rsidR="0016670F" w:rsidRDefault="003F0DC3" w:rsidP="003F0DC3">
      <w:pPr>
        <w:pStyle w:val="ListBullet"/>
        <w:numPr>
          <w:ilvl w:val="0"/>
          <w:numId w:val="0"/>
        </w:numPr>
        <w:ind w:left="360" w:hanging="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Capture lessons learned in a shared document.</w:t>
      </w:r>
    </w:p>
    <w:p w14:paraId="566CD7BE" w14:textId="6F00CCD9" w:rsidR="0016670F" w:rsidRDefault="003F0DC3" w:rsidP="003F0DC3">
      <w:pPr>
        <w:pStyle w:val="ListBullet"/>
        <w:numPr>
          <w:ilvl w:val="0"/>
          <w:numId w:val="0"/>
        </w:numPr>
        <w:ind w:left="360" w:hanging="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Recognise individual contributions and transitions.</w:t>
      </w:r>
    </w:p>
    <w:p w14:paraId="289D8970" w14:textId="77777777" w:rsidR="0016670F" w:rsidRDefault="00A011CE">
      <w:r>
        <w:t>Goal: Strengthen team progress and awareness.</w:t>
      </w:r>
      <w:r>
        <w:br/>
      </w:r>
    </w:p>
    <w:p w14:paraId="3EAE595E" w14:textId="77777777" w:rsidR="0016670F" w:rsidRDefault="00A011CE">
      <w:pPr>
        <w:pStyle w:val="Heading2"/>
      </w:pPr>
      <w:r>
        <w:t>Quick Self-Assessment</w:t>
      </w:r>
    </w:p>
    <w:tbl>
      <w:tblPr>
        <w:tblW w:w="9468" w:type="dxa"/>
        <w:tblLook w:val="04A0" w:firstRow="1" w:lastRow="0" w:firstColumn="1" w:lastColumn="0" w:noHBand="0" w:noVBand="1"/>
      </w:tblPr>
      <w:tblGrid>
        <w:gridCol w:w="4320"/>
        <w:gridCol w:w="5148"/>
      </w:tblGrid>
      <w:tr w:rsidR="0016670F" w14:paraId="096482EB" w14:textId="77777777" w:rsidTr="05EE9EB2">
        <w:trPr>
          <w:trHeight w:val="300"/>
        </w:trPr>
        <w:tc>
          <w:tcPr>
            <w:tcW w:w="4320" w:type="dxa"/>
          </w:tcPr>
          <w:p w14:paraId="41A73028" w14:textId="77777777" w:rsidR="0016670F" w:rsidRDefault="00A011CE">
            <w:r>
              <w:t>Stage</w:t>
            </w:r>
          </w:p>
        </w:tc>
        <w:tc>
          <w:tcPr>
            <w:tcW w:w="5148" w:type="dxa"/>
          </w:tcPr>
          <w:p w14:paraId="45EF5389" w14:textId="77777777" w:rsidR="0016670F" w:rsidRDefault="00A011CE">
            <w:r>
              <w:t>How closely does this describe our team?</w:t>
            </w:r>
          </w:p>
        </w:tc>
      </w:tr>
      <w:tr w:rsidR="0016670F" w14:paraId="7DC9F74F" w14:textId="77777777" w:rsidTr="05EE9EB2">
        <w:trPr>
          <w:trHeight w:val="300"/>
        </w:trPr>
        <w:tc>
          <w:tcPr>
            <w:tcW w:w="4320" w:type="dxa"/>
          </w:tcPr>
          <w:p w14:paraId="6FFF242B" w14:textId="77777777" w:rsidR="0016670F" w:rsidRDefault="00A011CE">
            <w:r>
              <w:t>Forming</w:t>
            </w:r>
          </w:p>
        </w:tc>
        <w:tc>
          <w:tcPr>
            <w:tcW w:w="5148" w:type="dxa"/>
          </w:tcPr>
          <w:p w14:paraId="2A1B8BAB" w14:textId="36361D47" w:rsidR="0016670F" w:rsidRDefault="003F0DC3">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 xml:space="preserve">Not at all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 xml:space="preserve"> Somewhat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Very much</w:t>
            </w:r>
          </w:p>
        </w:tc>
      </w:tr>
      <w:tr w:rsidR="0016670F" w14:paraId="07D263F3" w14:textId="77777777" w:rsidTr="05EE9EB2">
        <w:trPr>
          <w:trHeight w:val="300"/>
        </w:trPr>
        <w:tc>
          <w:tcPr>
            <w:tcW w:w="4320" w:type="dxa"/>
          </w:tcPr>
          <w:p w14:paraId="482189E2" w14:textId="77777777" w:rsidR="0016670F" w:rsidRDefault="00A011CE">
            <w:r>
              <w:t>Storming</w:t>
            </w:r>
          </w:p>
        </w:tc>
        <w:tc>
          <w:tcPr>
            <w:tcW w:w="5148" w:type="dxa"/>
          </w:tcPr>
          <w:p w14:paraId="49B38A6D" w14:textId="22FFDB93" w:rsidR="0016670F" w:rsidRDefault="003F0DC3">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 xml:space="preserve"> Not at all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 xml:space="preserve">Somewhat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Very much</w:t>
            </w:r>
          </w:p>
        </w:tc>
      </w:tr>
      <w:tr w:rsidR="0016670F" w14:paraId="5AD9B4DF" w14:textId="77777777" w:rsidTr="05EE9EB2">
        <w:trPr>
          <w:trHeight w:val="300"/>
        </w:trPr>
        <w:tc>
          <w:tcPr>
            <w:tcW w:w="4320" w:type="dxa"/>
          </w:tcPr>
          <w:p w14:paraId="2D51076B" w14:textId="77777777" w:rsidR="0016670F" w:rsidRDefault="00A011CE">
            <w:r>
              <w:t>Norming</w:t>
            </w:r>
          </w:p>
        </w:tc>
        <w:tc>
          <w:tcPr>
            <w:tcW w:w="5148" w:type="dxa"/>
          </w:tcPr>
          <w:p w14:paraId="189658CF" w14:textId="07095B85" w:rsidR="0016670F" w:rsidRDefault="003F0DC3">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 xml:space="preserve">Not at all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 xml:space="preserve">Somewhat  </w:t>
            </w:r>
            <w:r>
              <w:t xml:space="preserve"> </w:t>
            </w:r>
            <w:r w:rsidR="00A011CE">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Very much</w:t>
            </w:r>
          </w:p>
        </w:tc>
      </w:tr>
      <w:tr w:rsidR="0016670F" w14:paraId="21BD6269" w14:textId="77777777" w:rsidTr="05EE9EB2">
        <w:trPr>
          <w:trHeight w:val="300"/>
        </w:trPr>
        <w:tc>
          <w:tcPr>
            <w:tcW w:w="4320" w:type="dxa"/>
          </w:tcPr>
          <w:p w14:paraId="6CFCA746" w14:textId="77777777" w:rsidR="0016670F" w:rsidRDefault="00A011CE">
            <w:r>
              <w:t>Performing</w:t>
            </w:r>
          </w:p>
        </w:tc>
        <w:tc>
          <w:tcPr>
            <w:tcW w:w="5148" w:type="dxa"/>
          </w:tcPr>
          <w:p w14:paraId="33AA2796" w14:textId="385C96B1" w:rsidR="0016670F" w:rsidRDefault="003F0DC3">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 xml:space="preserve">Not at all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 xml:space="preserve"> Somewhat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Very much</w:t>
            </w:r>
          </w:p>
        </w:tc>
      </w:tr>
      <w:tr w:rsidR="0016670F" w14:paraId="00593212" w14:textId="77777777" w:rsidTr="05EE9EB2">
        <w:trPr>
          <w:trHeight w:val="300"/>
        </w:trPr>
        <w:tc>
          <w:tcPr>
            <w:tcW w:w="4320" w:type="dxa"/>
          </w:tcPr>
          <w:p w14:paraId="79752378" w14:textId="77777777" w:rsidR="0016670F" w:rsidRDefault="00A011CE">
            <w:r>
              <w:lastRenderedPageBreak/>
              <w:t>Adjourning</w:t>
            </w:r>
          </w:p>
        </w:tc>
        <w:tc>
          <w:tcPr>
            <w:tcW w:w="5148" w:type="dxa"/>
          </w:tcPr>
          <w:p w14:paraId="1DDE9DD2" w14:textId="0D08BB23" w:rsidR="0016670F" w:rsidRDefault="003F0DC3">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 xml:space="preserve">Not at all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 xml:space="preserve">Somewhat   </w:t>
            </w: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A011CE">
              <w:t>Very much</w:t>
            </w:r>
          </w:p>
        </w:tc>
      </w:tr>
    </w:tbl>
    <w:p w14:paraId="78E29987" w14:textId="2F0BA4A5" w:rsidR="0016670F" w:rsidRDefault="003F0DC3">
      <w:r w:rsidRPr="003F0DC3">
        <w:t>Teams are always evolving; use this worksheet regularly to stay aware and keep improving.</w:t>
      </w:r>
    </w:p>
    <w:p w14:paraId="2828CAB4" w14:textId="77777777" w:rsidR="0016670F" w:rsidRDefault="00A011CE">
      <w:pPr>
        <w:pStyle w:val="Heading2"/>
      </w:pPr>
      <w:r>
        <w:t>Bonus Tip</w:t>
      </w:r>
    </w:p>
    <w:p w14:paraId="3FF52A71" w14:textId="2AA57CB3" w:rsidR="0016670F" w:rsidRDefault="00A011CE">
      <w:r>
        <w:t xml:space="preserve">Many high-performing teams use reflection frameworks to enhance communication and learning. Suggested reading: </w:t>
      </w:r>
      <w:hyperlink r:id="rId7" w:history="1">
        <w:r w:rsidRPr="003F0DC3">
          <w:rPr>
            <w:rStyle w:val="Hyperlink"/>
          </w:rPr>
          <w:t>Gibbs’ Reflective Cycle</w:t>
        </w:r>
      </w:hyperlink>
      <w:r>
        <w:t xml:space="preserve"> to deepen team reflection after each stage.</w:t>
      </w:r>
    </w:p>
    <w:p w14:paraId="3B69FCBB" w14:textId="77777777" w:rsidR="0016670F" w:rsidRDefault="0016670F"/>
    <w:p w14:paraId="7041408D" w14:textId="4AC6A2C0" w:rsidR="0016670F" w:rsidRDefault="00A011CE" w:rsidP="003F0DC3">
      <w:pPr>
        <w:jc w:val="center"/>
      </w:pPr>
      <w:r>
        <w:t>Moralbox |</w:t>
      </w:r>
      <w:hyperlink r:id="rId8" w:history="1">
        <w:r w:rsidRPr="00A011CE">
          <w:rPr>
            <w:rStyle w:val="Hyperlink"/>
          </w:rPr>
          <w:t>www.moralbox.com</w:t>
        </w:r>
      </w:hyperlink>
    </w:p>
    <w:sectPr w:rsidR="0016670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6883B1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5F4A26"/>
    <w:multiLevelType w:val="hybridMultilevel"/>
    <w:tmpl w:val="FFFFFFFF"/>
    <w:lvl w:ilvl="0" w:tplc="D6CC0856">
      <w:start w:val="1"/>
      <w:numFmt w:val="bullet"/>
      <w:lvlText w:val="·"/>
      <w:lvlJc w:val="left"/>
      <w:pPr>
        <w:ind w:left="720" w:hanging="360"/>
      </w:pPr>
      <w:rPr>
        <w:rFonts w:ascii="Symbol" w:hAnsi="Symbol" w:hint="default"/>
      </w:rPr>
    </w:lvl>
    <w:lvl w:ilvl="1" w:tplc="4EEE91D6">
      <w:start w:val="1"/>
      <w:numFmt w:val="bullet"/>
      <w:lvlText w:val="o"/>
      <w:lvlJc w:val="left"/>
      <w:pPr>
        <w:ind w:left="1440" w:hanging="360"/>
      </w:pPr>
      <w:rPr>
        <w:rFonts w:ascii="Courier New" w:hAnsi="Courier New" w:hint="default"/>
      </w:rPr>
    </w:lvl>
    <w:lvl w:ilvl="2" w:tplc="2A8ED10A">
      <w:start w:val="1"/>
      <w:numFmt w:val="bullet"/>
      <w:lvlText w:val=""/>
      <w:lvlJc w:val="left"/>
      <w:pPr>
        <w:ind w:left="2160" w:hanging="360"/>
      </w:pPr>
      <w:rPr>
        <w:rFonts w:ascii="Wingdings" w:hAnsi="Wingdings" w:hint="default"/>
      </w:rPr>
    </w:lvl>
    <w:lvl w:ilvl="3" w:tplc="29587346">
      <w:start w:val="1"/>
      <w:numFmt w:val="bullet"/>
      <w:lvlText w:val=""/>
      <w:lvlJc w:val="left"/>
      <w:pPr>
        <w:ind w:left="2880" w:hanging="360"/>
      </w:pPr>
      <w:rPr>
        <w:rFonts w:ascii="Symbol" w:hAnsi="Symbol" w:hint="default"/>
      </w:rPr>
    </w:lvl>
    <w:lvl w:ilvl="4" w:tplc="DEF4E056">
      <w:start w:val="1"/>
      <w:numFmt w:val="bullet"/>
      <w:lvlText w:val="o"/>
      <w:lvlJc w:val="left"/>
      <w:pPr>
        <w:ind w:left="3600" w:hanging="360"/>
      </w:pPr>
      <w:rPr>
        <w:rFonts w:ascii="Courier New" w:hAnsi="Courier New" w:hint="default"/>
      </w:rPr>
    </w:lvl>
    <w:lvl w:ilvl="5" w:tplc="DE8074E4">
      <w:start w:val="1"/>
      <w:numFmt w:val="bullet"/>
      <w:lvlText w:val=""/>
      <w:lvlJc w:val="left"/>
      <w:pPr>
        <w:ind w:left="4320" w:hanging="360"/>
      </w:pPr>
      <w:rPr>
        <w:rFonts w:ascii="Wingdings" w:hAnsi="Wingdings" w:hint="default"/>
      </w:rPr>
    </w:lvl>
    <w:lvl w:ilvl="6" w:tplc="D44E4386">
      <w:start w:val="1"/>
      <w:numFmt w:val="bullet"/>
      <w:lvlText w:val=""/>
      <w:lvlJc w:val="left"/>
      <w:pPr>
        <w:ind w:left="5040" w:hanging="360"/>
      </w:pPr>
      <w:rPr>
        <w:rFonts w:ascii="Symbol" w:hAnsi="Symbol" w:hint="default"/>
      </w:rPr>
    </w:lvl>
    <w:lvl w:ilvl="7" w:tplc="C7DCBABC">
      <w:start w:val="1"/>
      <w:numFmt w:val="bullet"/>
      <w:lvlText w:val="o"/>
      <w:lvlJc w:val="left"/>
      <w:pPr>
        <w:ind w:left="5760" w:hanging="360"/>
      </w:pPr>
      <w:rPr>
        <w:rFonts w:ascii="Courier New" w:hAnsi="Courier New" w:hint="default"/>
      </w:rPr>
    </w:lvl>
    <w:lvl w:ilvl="8" w:tplc="5E86D0F8">
      <w:start w:val="1"/>
      <w:numFmt w:val="bullet"/>
      <w:lvlText w:val=""/>
      <w:lvlJc w:val="left"/>
      <w:pPr>
        <w:ind w:left="6480" w:hanging="360"/>
      </w:pPr>
      <w:rPr>
        <w:rFonts w:ascii="Wingdings" w:hAnsi="Wingdings" w:hint="default"/>
      </w:rPr>
    </w:lvl>
  </w:abstractNum>
  <w:num w:numId="1" w16cid:durableId="1046952240">
    <w:abstractNumId w:val="4"/>
  </w:num>
  <w:num w:numId="2" w16cid:durableId="1458142491">
    <w:abstractNumId w:val="5"/>
  </w:num>
  <w:num w:numId="3" w16cid:durableId="1466004316">
    <w:abstractNumId w:val="0"/>
  </w:num>
  <w:num w:numId="4" w16cid:durableId="160705536">
    <w:abstractNumId w:val="2"/>
  </w:num>
  <w:num w:numId="5" w16cid:durableId="1713768014">
    <w:abstractNumId w:val="7"/>
  </w:num>
  <w:num w:numId="6" w16cid:durableId="192773373">
    <w:abstractNumId w:val="3"/>
  </w:num>
  <w:num w:numId="7" w16cid:durableId="580798176">
    <w:abstractNumId w:val="8"/>
  </w:num>
  <w:num w:numId="8" w16cid:durableId="612977933">
    <w:abstractNumId w:val="6"/>
  </w:num>
  <w:num w:numId="9" w16cid:durableId="849215935">
    <w:abstractNumId w:val="1"/>
  </w:num>
  <w:num w:numId="10" w16cid:durableId="178533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23A"/>
    <w:rsid w:val="00034616"/>
    <w:rsid w:val="00041BDA"/>
    <w:rsid w:val="0006063C"/>
    <w:rsid w:val="0015074B"/>
    <w:rsid w:val="0016670F"/>
    <w:rsid w:val="001A6D0B"/>
    <w:rsid w:val="001D6E1D"/>
    <w:rsid w:val="0029639D"/>
    <w:rsid w:val="00326F90"/>
    <w:rsid w:val="003F0DC3"/>
    <w:rsid w:val="003F243A"/>
    <w:rsid w:val="00482632"/>
    <w:rsid w:val="004E6570"/>
    <w:rsid w:val="005D7ED7"/>
    <w:rsid w:val="008C6D8D"/>
    <w:rsid w:val="009956DE"/>
    <w:rsid w:val="00A011CE"/>
    <w:rsid w:val="00A8029C"/>
    <w:rsid w:val="00AA1D8D"/>
    <w:rsid w:val="00AD6077"/>
    <w:rsid w:val="00B44703"/>
    <w:rsid w:val="00B47730"/>
    <w:rsid w:val="00C17677"/>
    <w:rsid w:val="00C41241"/>
    <w:rsid w:val="00C903BC"/>
    <w:rsid w:val="00CB0664"/>
    <w:rsid w:val="00CB7950"/>
    <w:rsid w:val="00DD7055"/>
    <w:rsid w:val="00E113D7"/>
    <w:rsid w:val="00E956B8"/>
    <w:rsid w:val="00EE4EEC"/>
    <w:rsid w:val="00EF4799"/>
    <w:rsid w:val="00F166B9"/>
    <w:rsid w:val="00FC693F"/>
    <w:rsid w:val="00FE6841"/>
    <w:rsid w:val="03C8AB31"/>
    <w:rsid w:val="05EE9EB2"/>
    <w:rsid w:val="07F226CC"/>
    <w:rsid w:val="0D14030A"/>
    <w:rsid w:val="1B5B7F44"/>
    <w:rsid w:val="3EBE347D"/>
    <w:rsid w:val="3F6F53EA"/>
    <w:rsid w:val="4035631F"/>
    <w:rsid w:val="57D795D3"/>
    <w:rsid w:val="5A1780D2"/>
    <w:rsid w:val="6E408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6FE537"/>
  <w14:defaultImageDpi w14:val="300"/>
  <w15:docId w15:val="{B6391F06-D6E0-4543-A116-4F1F11F5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7"/>
      </w:numPr>
      <w:contextualSpacing/>
    </w:pPr>
  </w:style>
  <w:style w:type="paragraph" w:styleId="ListBullet2">
    <w:name w:val="List Bullet 2"/>
    <w:basedOn w:val="Normal"/>
    <w:uiPriority w:val="99"/>
    <w:unhideWhenUsed/>
    <w:rsid w:val="00326F90"/>
    <w:pPr>
      <w:numPr>
        <w:numId w:val="8"/>
      </w:numPr>
      <w:contextualSpacing/>
    </w:pPr>
  </w:style>
  <w:style w:type="paragraph" w:styleId="ListBullet3">
    <w:name w:val="List Bullet 3"/>
    <w:basedOn w:val="Normal"/>
    <w:uiPriority w:val="99"/>
    <w:unhideWhenUsed/>
    <w:rsid w:val="00326F90"/>
    <w:pPr>
      <w:numPr>
        <w:numId w:val="2"/>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4"/>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Pr>
    <w:tcPr>
      <w:tcBorders>
        <w:left w:val="nil"/>
        <w:right w:val="nil"/>
        <w:insideH w:val="nil"/>
        <w:insideV w:val="nil"/>
      </w:tcBorders>
      <w:shd w:val="clear" w:color="auto" w:fill="C0C0C0" w:themeFill="text1" w:themeFillTint="3F"/>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Pr>
    <w:tcPr>
      <w:tcBorders>
        <w:left w:val="nil"/>
        <w:right w:val="nil"/>
        <w:insideH w:val="nil"/>
        <w:insideV w:val="nil"/>
      </w:tcBorders>
      <w:shd w:val="clear" w:color="auto" w:fill="D3DFEE" w:themeFill="accent1" w:themeFillTint="3F"/>
    </w:tc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Pr>
    <w:tcPr>
      <w:tcBorders>
        <w:left w:val="nil"/>
        <w:right w:val="nil"/>
        <w:insideH w:val="nil"/>
        <w:insideV w:val="nil"/>
      </w:tcBorders>
      <w:shd w:val="clear" w:color="auto" w:fill="EFD3D2" w:themeFill="accent2" w:themeFillTint="3F"/>
    </w:tc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Pr>
    <w:tcPr>
      <w:tcBorders>
        <w:left w:val="nil"/>
        <w:right w:val="nil"/>
        <w:insideH w:val="nil"/>
        <w:insideV w:val="nil"/>
      </w:tcBorders>
      <w:shd w:val="clear" w:color="auto" w:fill="E6EED5" w:themeFill="accent3" w:themeFillTint="3F"/>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Pr>
    <w:tcPr>
      <w:tcBorders>
        <w:left w:val="nil"/>
        <w:right w:val="nil"/>
        <w:insideH w:val="nil"/>
        <w:insideV w:val="nil"/>
      </w:tcBorders>
      <w:shd w:val="clear" w:color="auto" w:fill="DFD8E8" w:themeFill="accent4" w:themeFillTint="3F"/>
    </w:tc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Pr>
    <w:tcPr>
      <w:tcBorders>
        <w:left w:val="nil"/>
        <w:right w:val="nil"/>
        <w:insideH w:val="nil"/>
        <w:insideV w:val="nil"/>
      </w:tcBorders>
      <w:shd w:val="clear" w:color="auto" w:fill="D2EAF1" w:themeFill="accent5" w:themeFillTint="3F"/>
    </w:tc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Pr>
    <w:tcPr>
      <w:tcBorders>
        <w:left w:val="nil"/>
        <w:right w:val="nil"/>
        <w:insideH w:val="nil"/>
        <w:insideV w:val="nil"/>
      </w:tcBorders>
      <w:shd w:val="clear" w:color="auto" w:fill="FDE4D0" w:themeFill="accent6" w:themeFillTint="3F"/>
    </w:tc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FDE4D0" w:themeFill="accent6" w:themeFillTint="3F"/>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thinThickThinLargeGap" w:sz="0" w:space="22" w:color="FF3A56" w:frame="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FDE4D0" w:themeFill="accent6" w:themeFillTint="3F"/>
      </w:tcPr>
    </w:tblStylePr>
  </w:style>
  <w:style w:type="table" w:styleId="LightList-Accent1">
    <w:name w:val="Light List Accent 1"/>
    <w:basedOn w:val="TableNormal"/>
    <w:uiPriority w:val="61"/>
    <w:rsid w:val="00FC693F"/>
    <w:pPr>
      <w:spacing w:after="0" w:line="240" w:lineRule="auto"/>
    </w:pPr>
    <w:tblPr>
      <w:tblStyleRowBandSize w:val="1"/>
      <w:tblStyleColBandSize w:val="1"/>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2">
    <w:name w:val="Light List Accent 2"/>
    <w:basedOn w:val="TableNormal"/>
    <w:uiPriority w:val="61"/>
    <w:rsid w:val="00CB0664"/>
    <w:pPr>
      <w:spacing w:after="0" w:line="240" w:lineRule="auto"/>
    </w:pPr>
    <w:tblPr>
      <w:tblStyleRowBandSize w:val="1"/>
      <w:tblStyleColBandSize w:val="1"/>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style>
  <w:style w:type="table" w:styleId="LightList-Accent3">
    <w:name w:val="Light List Accent 3"/>
    <w:basedOn w:val="TableNormal"/>
    <w:uiPriority w:val="61"/>
    <w:rsid w:val="00CB0664"/>
    <w:pPr>
      <w:spacing w:after="0" w:line="240" w:lineRule="auto"/>
    </w:pPr>
    <w:tblPr>
      <w:tblStyleRowBandSize w:val="1"/>
      <w:tblStyleColBandSize w:val="1"/>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style>
  <w:style w:type="table" w:styleId="LightList-Accent4">
    <w:name w:val="Light List Accent 4"/>
    <w:basedOn w:val="TableNormal"/>
    <w:uiPriority w:val="61"/>
    <w:rsid w:val="00CB0664"/>
    <w:pPr>
      <w:spacing w:after="0" w:line="240" w:lineRule="auto"/>
    </w:pPr>
    <w:tblPr>
      <w:tblStyleRowBandSize w:val="1"/>
      <w:tblStyleColBandSize w:val="1"/>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style>
  <w:style w:type="table" w:styleId="LightList-Accent5">
    <w:name w:val="Light List Accent 5"/>
    <w:basedOn w:val="TableNormal"/>
    <w:uiPriority w:val="61"/>
    <w:rsid w:val="00CB0664"/>
    <w:pPr>
      <w:spacing w:after="0" w:line="240" w:lineRule="auto"/>
    </w:pPr>
    <w:tblPr>
      <w:tblStyleRowBandSize w:val="1"/>
      <w:tblStyleColBandSize w:val="1"/>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style>
  <w:style w:type="table" w:styleId="LightList-Accent6">
    <w:name w:val="Light List Accent 6"/>
    <w:basedOn w:val="TableNormal"/>
    <w:uiPriority w:val="61"/>
    <w:rsid w:val="00CB0664"/>
    <w:pPr>
      <w:spacing w:after="0" w:line="240" w:lineRule="auto"/>
    </w:pPr>
    <w:tblPr>
      <w:tblStyleRowBandSize w:val="1"/>
      <w:tblStyleColBandSize w:val="1"/>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style>
  <w:style w:type="table" w:styleId="LightGrid">
    <w:name w:val="Light Grid"/>
    <w:basedOn w:val="TableNormal"/>
    <w:uiPriority w:val="62"/>
    <w:rsid w:val="00CB0664"/>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shd w:val="clear" w:color="auto" w:fill="F79646" w:themeFill="accent6"/>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F79646" w:themeFill="accent6"/>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shd w:val="clear" w:color="auto" w:fill="D3DFEE" w:themeFill="accent1" w:themeFillTint="3F"/>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shd w:val="clear" w:color="auto" w:fill="EFD3D2" w:themeFill="accent2" w:themeFillTint="3F"/>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shd w:val="clear" w:color="auto" w:fill="E6EED5" w:themeFill="accent3" w:themeFillTint="3F"/>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shd w:val="clear" w:color="auto" w:fill="DFD8E8" w:themeFill="accent4" w:themeFillTint="3F"/>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shd w:val="clear" w:color="auto" w:fill="D2EAF1" w:themeFill="accent5" w:themeFillTint="3F"/>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shd w:val="clear" w:color="auto" w:fill="FDE4D0" w:themeFill="accent6" w:themeFillTint="3F"/>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tcBorders>
          <w:top w:val="none" w:sz="89" w:space="19" w:color="FFFF3A"/>
        </w:tcBorders>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Pr>
    <w:tcPr>
      <w:tcBorders>
        <w:insideH w:val="nil"/>
        <w:insideV w:val="nil"/>
      </w:tcBorders>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Pr>
    <w:tcPr>
      <w:tcBorders>
        <w:insideH w:val="nil"/>
        <w:insideV w:val="nil"/>
      </w:tcBorders>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Pr>
    <w:tcPr>
      <w:tcBorders>
        <w:insideH w:val="nil"/>
        <w:insideV w:val="nil"/>
      </w:tcBorders>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Pr>
    <w:tcPr>
      <w:tcBorders>
        <w:insideH w:val="nil"/>
        <w:insideV w:val="nil"/>
      </w:tcBorders>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Pr>
    <w:tcPr>
      <w:tcBorders>
        <w:insideH w:val="nil"/>
        <w:insideV w:val="nil"/>
      </w:tcBorders>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Borders>
        <w:insideH w:val="nil"/>
        <w:insideV w:val="nil"/>
      </w:tcBorders>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Pr>
    <w:tcPr>
      <w:tcBorders>
        <w:insideH w:val="nil"/>
        <w:insideV w:val="nil"/>
      </w:tcBorders>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2Horz">
      <w:tblPr/>
      <w:tcPr>
        <w:tcBorders>
          <w:insideH w:val="nil"/>
          <w:insideV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Pr>
    <w:tcPr>
      <w:tcBorders>
        <w:insideH w:val="nil"/>
        <w:insideV w:val="nil"/>
      </w:tcBorders>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2Horz">
      <w:tblPr/>
      <w:tcPr>
        <w:tcBorders>
          <w:insideH w:val="nil"/>
          <w:insideV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Pr/>
      <w:tcPr>
        <w:tcBorders>
          <w:top w:val="nil"/>
          <w:left w:val="nil"/>
          <w:bottom w:val="single" w:sz="18" w:space="0" w:color="auto"/>
          <w:right w:val="nil"/>
          <w:insideH w:val="nil"/>
          <w:insideV w:val="nil"/>
        </w:tcBorders>
      </w:tcPr>
    </w:tblStylePr>
    <w:tblStylePr w:type="lastCol">
      <w:rPr>
        <w:b/>
        <w:bCs/>
      </w:rPr>
      <w:tblPr/>
      <w:tcPr>
        <w:tcBorders>
          <w:top w:val="single" w:sz="8" w:space="0" w:color="000000" w:themeColor="text1"/>
          <w:left w:val="nil"/>
          <w:bottom w:val="single" w:sz="8" w:space="0" w:color="000000" w:themeColor="text1"/>
          <w:right w:val="nil"/>
          <w:insideH w:val="nil"/>
          <w:insideV w:val="nil"/>
        </w:tcBorders>
        <w:shd w:val="clear" w:color="auto" w:fill="4BACC6" w:themeFill="accent5"/>
      </w:tcPr>
    </w:tblStylePr>
    <w:tblStylePr w:type="band1Vert">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Pr>
    <w:tcPr>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Pr/>
      <w:tcPr>
        <w:tcBorders>
          <w:top w:val="nil"/>
          <w:left w:val="nil"/>
          <w:bottom w:val="single" w:sz="18" w:space="0" w:color="auto"/>
          <w:right w:val="nil"/>
        </w:tcBorders>
      </w:tc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Pr>
    <w:tcPr>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Pr/>
      <w:tcPr>
        <w:tcBorders>
          <w:top w:val="nil"/>
          <w:left w:val="nil"/>
          <w:bottom w:val="single" w:sz="18" w:space="0" w:color="auto"/>
          <w:right w:val="nil"/>
        </w:tcBorders>
      </w:tc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Pr>
    <w:tcPr>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Pr/>
      <w:tcPr>
        <w:tcBorders>
          <w:top w:val="nil"/>
          <w:left w:val="nil"/>
          <w:bottom w:val="single" w:sz="18" w:space="0" w:color="auto"/>
          <w:right w:val="nil"/>
        </w:tcBorders>
      </w:tc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Pr>
    <w:tcPr>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Pr/>
      <w:tcPr>
        <w:tcBorders>
          <w:top w:val="nil"/>
          <w:left w:val="nil"/>
          <w:bottom w:val="single" w:sz="18" w:space="0" w:color="auto"/>
          <w:right w:val="nil"/>
        </w:tcBorders>
      </w:tc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Pr>
    <w:tcPr>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Pr/>
      <w:tcPr>
        <w:tcBorders>
          <w:top w:val="nil"/>
          <w:left w:val="nil"/>
          <w:bottom w:val="single" w:sz="18" w:space="0" w:color="auto"/>
          <w:right w:val="nil"/>
        </w:tcBorders>
      </w:tc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Pr>
    <w:tcPr>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Pr/>
      <w:tcPr>
        <w:tcBorders>
          <w:top w:val="nil"/>
          <w:left w:val="nil"/>
          <w:bottom w:val="single" w:sz="18" w:space="0" w:color="auto"/>
          <w:right w:val="nil"/>
        </w:tcBorders>
      </w:tc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one" w:sz="3" w:space="0" w:color="A83470"/>
        <w:bottom w:val="single" w:sz="8" w:space="0" w:color="F79646" w:themeColor="accent6"/>
      </w:tcBorders>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bottom w:val="nil"/>
        <w:insideH w:val="nil"/>
        <w:insideV w:val="nil"/>
      </w:tcBorders>
      <w:shd w:val="clear" w:color="auto" w:fill="D3DFEE" w:themeFill="accent1" w:themeFillTint="3F"/>
    </w:tc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bottom w:val="nil"/>
        <w:right w:val="nil"/>
        <w:insideH w:val="nil"/>
        <w:insideV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bottom w:val="nil"/>
        <w:right w:val="nil"/>
        <w:insideH w:val="nil"/>
        <w:insideV w:val="nil"/>
      </w:tcBorders>
      <w:shd w:val="clear" w:color="auto" w:fill="E6EED5" w:themeFill="accent3" w:themeFillTint="3F"/>
    </w:tc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bottom w:val="nil"/>
        <w:right w:val="nil"/>
        <w:insideH w:val="nil"/>
        <w:insideV w:val="nil"/>
      </w:tcBorders>
      <w:shd w:val="clear" w:color="auto" w:fill="DFD8E8" w:themeFill="accent4" w:themeFillTint="3F"/>
    </w:tc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bottom w:val="nil"/>
        <w:right w:val="nil"/>
        <w:insideH w:val="nil"/>
        <w:insideV w:val="nil"/>
      </w:tcBorders>
      <w:shd w:val="clear" w:color="auto" w:fill="D2EAF1" w:themeFill="accent5" w:themeFillTint="3F"/>
    </w:tc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bottom w:val="nil"/>
        <w:right w:val="nil"/>
        <w:insideH w:val="nil"/>
        <w:insideV w:val="nil"/>
      </w:tcBorders>
      <w:shd w:val="clear" w:color="auto" w:fill="FDE4D0" w:themeFill="accent6" w:themeFillTint="3F"/>
    </w:tc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tcBorders>
        <w:right w:val="nil"/>
        <w:insideH w:val="nil"/>
        <w:insideV w:val="nil"/>
      </w:tcBorders>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Pr/>
      <w:tcPr>
        <w:tcBorders>
          <w:top w:val="nil"/>
          <w:left w:val="single" w:sz="8" w:space="0" w:color="4BACC6" w:themeColor="accent5"/>
          <w:bottom w:val="nil"/>
          <w:right w:val="nil"/>
          <w:insideH w:val="nil"/>
          <w:insideV w:val="nil"/>
        </w:tcBorders>
        <w:shd w:val="clear" w:color="auto" w:fill="FFFF3A"/>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tcBorders>
        <w:top w:val="nil"/>
        <w:left w:val="single" w:sz="8" w:space="0" w:color="4BACC6" w:themeColor="accent5"/>
        <w:bottom w:val="nil"/>
        <w:right w:val="nil"/>
        <w:insideH w:val="nil"/>
        <w:insideV w:val="nil"/>
      </w:tcBorders>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tcBorders>
        <w:top w:val="nil"/>
        <w:left w:val="single" w:sz="8" w:space="0" w:color="4BACC6" w:themeColor="accent5"/>
        <w:bottom w:val="nil"/>
        <w:right w:val="nil"/>
        <w:insideH w:val="nil"/>
        <w:insideV w:val="nil"/>
      </w:tcBorders>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tcBorders>
        <w:top w:val="nil"/>
        <w:left w:val="single" w:sz="8" w:space="0" w:color="4BACC6" w:themeColor="accent5"/>
        <w:bottom w:val="nil"/>
        <w:right w:val="nil"/>
        <w:insideH w:val="nil"/>
        <w:insideV w:val="nil"/>
      </w:tcBorders>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tcBorders>
        <w:top w:val="nil"/>
        <w:left w:val="single" w:sz="8" w:space="0" w:color="4BACC6" w:themeColor="accent5"/>
        <w:bottom w:val="nil"/>
        <w:right w:val="nil"/>
        <w:insideH w:val="nil"/>
        <w:insideV w:val="nil"/>
      </w:tcBorders>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tcBorders>
        <w:top w:val="nil"/>
        <w:left w:val="single" w:sz="8" w:space="0" w:color="4BACC6" w:themeColor="accent5"/>
        <w:bottom w:val="nil"/>
        <w:right w:val="nil"/>
        <w:insideH w:val="nil"/>
        <w:insideV w:val="nil"/>
      </w:tcBorders>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tcBorders>
        <w:top w:val="nil"/>
        <w:left w:val="single" w:sz="8" w:space="0" w:color="4BACC6" w:themeColor="accent5"/>
        <w:bottom w:val="nil"/>
        <w:right w:val="nil"/>
        <w:insideH w:val="nil"/>
        <w:insideV w:val="nil"/>
      </w:tcBorders>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B074" w:themeColor="accent6" w:themeTint="BF"/>
        <w:left w:val="single" w:sz="8" w:space="0" w:color="F9B074" w:themeColor="accent6" w:themeTint="BF"/>
        <w:bottom w:val="creaturesLadyBug" w:sz="186" w:space="0" w:color="BFFF00" w:frame="1"/>
        <w:right w:val="creaturesLadyBug" w:sz="186" w:space="0" w:color="000000" w:frame="1"/>
        <w:insideH w:val="creaturesLadyBug" w:sz="186" w:space="0" w:color="000000" w:frame="1"/>
        <w:insideV w:val="birdsFlight" w:sz="119" w:space="2" w:color="000000"/>
      </w:tblBorders>
    </w:tblPr>
    <w:tcPr>
      <w:tcBorders>
        <w:top w:val="nil"/>
        <w:left w:val="nil"/>
        <w:bottom w:val="nil"/>
        <w:right w:val="nil"/>
        <w:insideH w:val="single" w:sz="6" w:space="0" w:color="000000" w:themeColor="text1"/>
        <w:insideV w:val="single" w:sz="6" w:space="0" w:color="000000" w:themeColor="text1"/>
      </w:tcBorders>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right w:val="nil"/>
        <w:insideH w:val="single" w:sz="6" w:space="0" w:color="4F81BD" w:themeColor="accent1"/>
        <w:insideV w:val="single" w:sz="6" w:space="0" w:color="4F81BD" w:themeColor="accent1"/>
      </w:tcBorders>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insideH w:val="single" w:sz="6" w:space="0" w:color="C0504D" w:themeColor="accent2"/>
        <w:insideV w:val="single" w:sz="6" w:space="0" w:color="C0504D" w:themeColor="accent2"/>
      </w:tcBorders>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insideH w:val="single" w:sz="6" w:space="0" w:color="9BBB59" w:themeColor="accent3"/>
        <w:insideV w:val="single" w:sz="6" w:space="0" w:color="9BBB59" w:themeColor="accent3"/>
      </w:tcBorders>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insideH w:val="single" w:sz="6" w:space="0" w:color="8064A2" w:themeColor="accent4"/>
        <w:insideV w:val="single" w:sz="6" w:space="0" w:color="8064A2" w:themeColor="accent4"/>
      </w:tcBorders>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insideH w:val="single" w:sz="6" w:space="0" w:color="4BACC6" w:themeColor="accent5"/>
        <w:insideV w:val="single" w:sz="6" w:space="0" w:color="4BACC6" w:themeColor="accent5"/>
      </w:tcBorders>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insideH w:val="single" w:sz="6" w:space="0" w:color="F79646" w:themeColor="accent6"/>
        <w:insideV w:val="single" w:sz="6" w:space="0" w:color="F79646" w:themeColor="accent6"/>
      </w:tcBorders>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Pr>
    <w:tcPr>
      <w:tcBorders>
        <w:left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top w:val="nil"/>
          <w:left w:val="single" w:sz="8" w:space="0" w:color="FFFFFF" w:themeColor="background1"/>
          <w:bottom w:val="nil"/>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Pr>
    <w:tcPr>
      <w:tcBorders>
        <w:left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left w:val="nil"/>
          <w:bottom w:val="nil"/>
          <w:right w:val="nil"/>
          <w:insideH w:val="nil"/>
          <w:insideV w:val="nil"/>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999999" w:themeFill="text1" w:themeFillTint="66"/>
      </w:tcPr>
    </w:tblStylePr>
    <w:tblStylePr w:type="neCell">
      <w:rPr>
        <w:color w:val="000000" w:themeColor="text1"/>
      </w:rPr>
    </w:tblStylePr>
    <w:tblStylePr w:type="nwCell">
      <w:rPr>
        <w:color w:val="000000" w:themeColor="text1"/>
      </w:rPr>
      <w:tblPr/>
      <w:tcPr>
        <w:tcBorders>
          <w:top w:val="nil"/>
          <w:left w:val="nil"/>
          <w:bottom w:val="nil"/>
          <w:right w:val="nil"/>
          <w:insideH w:val="nil"/>
          <w:insideV w:val="nil"/>
        </w:tcBorders>
      </w:tc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tcBorders>
        <w:left w:val="nil"/>
        <w:right w:val="nil"/>
        <w:insideH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tcBorders>
        <w:left w:val="nil"/>
        <w:right w:val="nil"/>
        <w:insideH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tcBorders>
        <w:left w:val="nil"/>
        <w:right w:val="nil"/>
        <w:insideH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tcBorders>
        <w:left w:val="nil"/>
        <w:right w:val="nil"/>
        <w:insideH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tcBorders>
        <w:left w:val="nil"/>
        <w:right w:val="nil"/>
        <w:insideH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tcBorders>
        <w:left w:val="nil"/>
        <w:right w:val="nil"/>
        <w:insideH w:val="nil"/>
      </w:tcBorders>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Pr/>
      <w:tcPr>
        <w:tcBorders>
          <w:top w:val="nil"/>
          <w:left w:val="nil"/>
          <w:bottom w:val="nil"/>
          <w:right w:val="nil"/>
        </w:tcBorders>
      </w:tcPr>
    </w:tblStylePr>
    <w:tblStylePr w:type="band1Vert">
      <w:tblPr/>
      <w:tcPr>
        <w:shd w:val="clear" w:color="auto" w:fill="FBD4B4" w:themeFill="accent6" w:themeFillTint="66"/>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Pr/>
      <w:tcPr>
        <w:tcBorders>
          <w:top w:val="nil"/>
        </w:tcBorders>
      </w:tcPr>
    </w:tblStylePr>
    <w:tblStylePr w:type="band1Vert">
      <w:tblPr/>
      <w:tcPr>
        <w:shd w:val="clear" w:color="auto" w:fill="FBD4B4" w:themeFill="accent6" w:themeFillTint="66"/>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Pr/>
      <w:tcPr>
        <w:tcBorders>
          <w:top w:val="nil"/>
        </w:tcBorders>
      </w:tcPr>
    </w:tblStylePr>
    <w:tblStylePr w:type="band1Vert">
      <w:tblPr/>
      <w:tcPr>
        <w:shd w:val="clear" w:color="auto" w:fill="FBD4B4" w:themeFill="accent6" w:themeFillTint="66"/>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Pr/>
      <w:tcPr>
        <w:tcBorders>
          <w:top w:val="nil"/>
        </w:tcBorders>
      </w:tcPr>
    </w:tblStylePr>
    <w:tblStylePr w:type="band1Vert">
      <w:tblPr/>
      <w:tcPr>
        <w:shd w:val="clear" w:color="auto" w:fill="FBD4B4" w:themeFill="accent6" w:themeFillTint="66"/>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Pr/>
      <w:tcPr>
        <w:tcBorders>
          <w:top w:val="nil"/>
        </w:tcBorders>
      </w:tcPr>
    </w:tblStylePr>
    <w:tblStylePr w:type="band1Vert">
      <w:tblPr/>
      <w:tcPr>
        <w:shd w:val="clear" w:color="auto" w:fill="FBD4B4" w:themeFill="accent6" w:themeFillTint="66"/>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Pr/>
      <w:tcPr>
        <w:tcBorders>
          <w:top w:val="nil"/>
        </w:tcBorders>
      </w:tcPr>
    </w:tblStylePr>
    <w:tblStylePr w:type="band1Vert">
      <w:tblPr/>
      <w:tcPr>
        <w:shd w:val="clear" w:color="auto" w:fill="FBD4B4" w:themeFill="accent6" w:themeFillTint="66"/>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Pr/>
      <w:tcPr>
        <w:tcBorders>
          <w:top w:val="nil"/>
        </w:tcBorders>
      </w:tcPr>
    </w:tblStylePr>
    <w:tblStylePr w:type="band1Vert">
      <w:tblPr/>
      <w:tcPr>
        <w:shd w:val="clear" w:color="auto" w:fill="FBD4B4" w:themeFill="accent6" w:themeFillTint="66"/>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tcBorders>
          <w:top w:val="nil"/>
        </w:tcBorders>
        <w:shd w:val="clear" w:color="auto" w:fill="000000" w:themeFill="text1" w:themeFillShade="BF"/>
      </w:tcPr>
    </w:tblStylePr>
    <w:tblStylePr w:type="band1Vert">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tcBorders>
          <w:top w:val="nil"/>
        </w:tcBorders>
        <w:shd w:val="clear" w:color="auto" w:fill="365F91" w:themeFill="accent1" w:themeFillShade="BF"/>
      </w:tcPr>
    </w:tblStylePr>
    <w:tblStylePr w:type="band1Vert">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tcBorders>
          <w:top w:val="nil"/>
        </w:tcBorders>
        <w:shd w:val="clear" w:color="auto" w:fill="943634" w:themeFill="accent2" w:themeFillShade="BF"/>
      </w:tcPr>
    </w:tblStylePr>
    <w:tblStylePr w:type="band1Vert">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tcBorders>
          <w:top w:val="nil"/>
        </w:tcBorders>
        <w:shd w:val="clear" w:color="auto" w:fill="76923C" w:themeFill="accent3" w:themeFillShade="BF"/>
      </w:tcPr>
    </w:tblStylePr>
    <w:tblStylePr w:type="band1Vert">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tcBorders>
          <w:top w:val="nil"/>
        </w:tcBorders>
        <w:shd w:val="clear" w:color="auto" w:fill="5F497A" w:themeFill="accent4" w:themeFillShade="BF"/>
      </w:tcPr>
    </w:tblStylePr>
    <w:tblStylePr w:type="band1Vert">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tcBorders>
          <w:top w:val="nil"/>
        </w:tcBorders>
        <w:shd w:val="clear" w:color="auto" w:fill="31849B" w:themeFill="accent5" w:themeFillShade="BF"/>
      </w:tcPr>
    </w:tblStylePr>
    <w:tblStylePr w:type="band1Vert">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tcBorders>
          <w:top w:val="nil"/>
        </w:tcBorders>
        <w:shd w:val="clear" w:color="auto" w:fill="E36C0A" w:themeFill="accent6" w:themeFillShade="BF"/>
      </w:tcPr>
    </w:tblStylePr>
    <w:tblStylePr w:type="band1Vert">
      <w:tblPr/>
      <w:tcPr>
        <w:shd w:val="clear" w:color="auto" w:fill="FBCAA2" w:themeFill="accent6" w:themeFillTint="7F"/>
      </w:tcPr>
    </w:tblStylePr>
  </w:style>
  <w:style w:type="character" w:styleId="Hyperlink">
    <w:name w:val="Hyperlink"/>
    <w:basedOn w:val="DefaultParagraphFont"/>
    <w:uiPriority w:val="99"/>
    <w:unhideWhenUsed/>
    <w:rsid w:val="003F0DC3"/>
    <w:rPr>
      <w:color w:val="0000FF" w:themeColor="hyperlink"/>
      <w:u w:val="single"/>
    </w:rPr>
  </w:style>
  <w:style w:type="character" w:styleId="UnresolvedMention">
    <w:name w:val="Unresolved Mention"/>
    <w:basedOn w:val="DefaultParagraphFont"/>
    <w:uiPriority w:val="99"/>
    <w:semiHidden/>
    <w:unhideWhenUsed/>
    <w:rsid w:val="003F0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ralbox.com/" TargetMode="External"/><Relationship Id="rId3" Type="http://schemas.openxmlformats.org/officeDocument/2006/relationships/styles" Target="styles.xml"/><Relationship Id="rId7" Type="http://schemas.openxmlformats.org/officeDocument/2006/relationships/hyperlink" Target="https://www.moralbox.com/gibbs-reflective-cycle-complete-2025-guide-with-examples-applications-and-critiq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4542</CharactersWithSpaces>
  <SharedDoc>false</SharedDoc>
  <HyperlinkBase/>
  <HLinks>
    <vt:vector size="12" baseType="variant">
      <vt:variant>
        <vt:i4>5373981</vt:i4>
      </vt:variant>
      <vt:variant>
        <vt:i4>93</vt:i4>
      </vt:variant>
      <vt:variant>
        <vt:i4>0</vt:i4>
      </vt:variant>
      <vt:variant>
        <vt:i4>5</vt:i4>
      </vt:variant>
      <vt:variant>
        <vt:lpwstr>https://www.moralbox.com/</vt:lpwstr>
      </vt:variant>
      <vt:variant>
        <vt:lpwstr/>
      </vt:variant>
      <vt:variant>
        <vt:i4>5898244</vt:i4>
      </vt:variant>
      <vt:variant>
        <vt:i4>90</vt:i4>
      </vt:variant>
      <vt:variant>
        <vt:i4>0</vt:i4>
      </vt:variant>
      <vt:variant>
        <vt:i4>5</vt:i4>
      </vt:variant>
      <vt:variant>
        <vt:lpwstr>https://www.moralbox.com/gibbs-reflective-cycle-complete-2025-guide-with-examples-applications-and-critique/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Ananya Soni</cp:lastModifiedBy>
  <cp:revision>2</cp:revision>
  <dcterms:created xsi:type="dcterms:W3CDTF">2025-10-31T15:32:00Z</dcterms:created>
  <dcterms:modified xsi:type="dcterms:W3CDTF">2025-10-31T15:32:00Z</dcterms:modified>
  <cp:category/>
</cp:coreProperties>
</file>